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6DC" w:rsidRPr="00EE01D3" w:rsidRDefault="00CD06DC" w:rsidP="00CD06DC">
      <w:pPr>
        <w:spacing w:before="100" w:beforeAutospacing="1" w:after="100" w:afterAutospacing="1" w:line="240" w:lineRule="auto"/>
        <w:jc w:val="both"/>
        <w:rPr>
          <w:rFonts w:ascii="Verdana" w:eastAsia="Times New Roman" w:hAnsi="Verdana" w:cs="Times New Roman"/>
          <w:lang w:eastAsia="cs-CZ"/>
        </w:rPr>
      </w:pPr>
      <w:r w:rsidRPr="00EE01D3">
        <w:rPr>
          <w:rFonts w:ascii="Verdana" w:eastAsia="Times New Roman" w:hAnsi="Verdana" w:cs="Times New Roman"/>
          <w:b/>
          <w:bCs/>
          <w:lang w:eastAsia="cs-CZ"/>
        </w:rPr>
        <w:t>Obec Josefov</w:t>
      </w:r>
      <w:r w:rsidRPr="00EE01D3">
        <w:rPr>
          <w:rFonts w:ascii="Verdana" w:eastAsia="Times New Roman" w:hAnsi="Verdana" w:cs="Times New Roman"/>
          <w:lang w:eastAsia="cs-CZ"/>
        </w:rPr>
        <w:t xml:space="preserve"> podle </w:t>
      </w:r>
      <w:r w:rsidRPr="00EE01D3">
        <w:rPr>
          <w:rFonts w:ascii="Verdana" w:eastAsia="Times New Roman" w:hAnsi="Verdana" w:cs="Times New Roman"/>
          <w:b/>
          <w:bCs/>
          <w:lang w:eastAsia="cs-CZ"/>
        </w:rPr>
        <w:t>§ 5 odst. 1 písm. f) zákona</w:t>
      </w:r>
      <w:r w:rsidRPr="00EE01D3">
        <w:rPr>
          <w:rFonts w:ascii="Verdana" w:eastAsia="Times New Roman" w:hAnsi="Verdana" w:cs="Times New Roman"/>
          <w:lang w:eastAsia="cs-CZ"/>
        </w:rPr>
        <w:t xml:space="preserve"> č. 106/1999 Sb., o svobodném přístupu k informacím, ve znění pozdějších předpisů (dále jen „zákon o svobodném přístupu k informacím“), a ve smyslu nařízení vlády č. 173/2006 Sb., o zásadách stanovení úhrad a licenčních odměn za poskytování informací podle zákona o svobodném přístupu k informacím, a v souladu s </w:t>
      </w:r>
      <w:r w:rsidRPr="00EE01D3">
        <w:rPr>
          <w:rFonts w:ascii="Verdana" w:eastAsia="Times New Roman" w:hAnsi="Verdana" w:cs="Times New Roman"/>
          <w:b/>
          <w:bCs/>
          <w:lang w:eastAsia="cs-CZ"/>
        </w:rPr>
        <w:t>článkem 15</w:t>
      </w:r>
      <w:r w:rsidRPr="00EE01D3">
        <w:rPr>
          <w:rFonts w:ascii="Verdana" w:eastAsia="Times New Roman" w:hAnsi="Verdana" w:cs="Times New Roman"/>
          <w:lang w:eastAsia="cs-CZ"/>
        </w:rPr>
        <w:t xml:space="preserve"> </w:t>
      </w:r>
      <w:r w:rsidRPr="00EE01D3">
        <w:rPr>
          <w:rFonts w:ascii="Verdana" w:eastAsia="Times New Roman" w:hAnsi="Verdana" w:cs="Times New Roman"/>
          <w:b/>
          <w:bCs/>
          <w:lang w:eastAsia="cs-CZ"/>
        </w:rPr>
        <w:t>odst. 3</w:t>
      </w:r>
      <w:r w:rsidRPr="00EE01D3">
        <w:rPr>
          <w:rFonts w:ascii="Verdana" w:eastAsia="Times New Roman" w:hAnsi="Verdana" w:cs="Times New Roman"/>
          <w:lang w:eastAsia="cs-CZ"/>
        </w:rPr>
        <w:t xml:space="preserve"> Obecného nařízení Evropského parlamentu a Rady (EU) 2016/679 o ochraně fyzických osob v souvislosti se zpracováním osobních údajů a o volném pohybu těchto údajů a o zrušení směrnice 95/46/ES (obecné nařízení o ochraně osobních údajů) ze dne 27. dubna 2016, (dále jen „</w:t>
      </w:r>
      <w:r w:rsidRPr="00EE01D3">
        <w:rPr>
          <w:rFonts w:ascii="Verdana" w:eastAsia="Times New Roman" w:hAnsi="Verdana" w:cs="Times New Roman"/>
          <w:b/>
          <w:bCs/>
          <w:lang w:eastAsia="cs-CZ"/>
        </w:rPr>
        <w:t>GDPR</w:t>
      </w:r>
      <w:r w:rsidRPr="00EE01D3">
        <w:rPr>
          <w:rFonts w:ascii="Verdana" w:eastAsia="Times New Roman" w:hAnsi="Verdana" w:cs="Times New Roman"/>
          <w:lang w:eastAsia="cs-CZ"/>
        </w:rPr>
        <w:t>“), stanovuje s </w:t>
      </w:r>
      <w:r w:rsidRPr="00EE01D3">
        <w:rPr>
          <w:rFonts w:ascii="Verdana" w:eastAsia="Times New Roman" w:hAnsi="Verdana" w:cs="Times New Roman"/>
          <w:b/>
          <w:bCs/>
          <w:lang w:eastAsia="cs-CZ"/>
        </w:rPr>
        <w:t>účinností od 1. října 2018</w:t>
      </w:r>
      <w:r w:rsidRPr="00EE01D3">
        <w:rPr>
          <w:rFonts w:ascii="Verdana" w:eastAsia="Times New Roman" w:hAnsi="Verdana" w:cs="Times New Roman"/>
          <w:lang w:eastAsia="cs-CZ"/>
        </w:rPr>
        <w:t xml:space="preserve"> tento </w:t>
      </w:r>
      <w:r w:rsidRPr="00EE01D3">
        <w:rPr>
          <w:rFonts w:ascii="Verdana" w:eastAsia="Times New Roman" w:hAnsi="Verdana" w:cs="Times New Roman"/>
          <w:b/>
          <w:bCs/>
          <w:lang w:eastAsia="cs-CZ"/>
        </w:rPr>
        <w:t>Sazebník úhrad nákladů za poskytování informací</w:t>
      </w:r>
      <w:r w:rsidRPr="00EE01D3">
        <w:rPr>
          <w:rFonts w:ascii="Verdana" w:eastAsia="Times New Roman" w:hAnsi="Verdana" w:cs="Times New Roman"/>
          <w:lang w:eastAsia="cs-CZ"/>
        </w:rPr>
        <w:t>.</w:t>
      </w:r>
    </w:p>
    <w:p w:rsidR="00CD06DC" w:rsidRPr="00EE01D3" w:rsidRDefault="00CD06DC" w:rsidP="00CD06DC">
      <w:pPr>
        <w:numPr>
          <w:ilvl w:val="0"/>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b/>
          <w:bCs/>
          <w:lang w:eastAsia="cs-CZ"/>
        </w:rPr>
        <w:t>Náklady na vytištění, pořízení kopie nebo záznamu informace (1 ks):</w:t>
      </w:r>
      <w:r w:rsidRPr="00EE01D3">
        <w:rPr>
          <w:rFonts w:ascii="Verdana" w:eastAsia="Times New Roman" w:hAnsi="Verdana" w:cs="Times New Roman"/>
          <w:lang w:eastAsia="cs-CZ"/>
        </w:rPr>
        <w:br/>
        <w:t xml:space="preserve">Černobílá: </w:t>
      </w:r>
    </w:p>
    <w:p w:rsidR="00CD06DC" w:rsidRPr="00EE01D3" w:rsidRDefault="00CD06DC" w:rsidP="00CD06DC">
      <w:pPr>
        <w:numPr>
          <w:ilvl w:val="1"/>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lang w:eastAsia="cs-CZ"/>
        </w:rPr>
        <w:t>jednostranný výtisk nebo kopie formát A4 - 1,00 Kč</w:t>
      </w:r>
    </w:p>
    <w:p w:rsidR="00CD06DC" w:rsidRPr="00EE01D3" w:rsidRDefault="00CD06DC" w:rsidP="00A62DFD">
      <w:pPr>
        <w:numPr>
          <w:ilvl w:val="1"/>
          <w:numId w:val="1"/>
        </w:numPr>
        <w:spacing w:after="120" w:line="240" w:lineRule="auto"/>
        <w:ind w:left="1434" w:hanging="357"/>
        <w:rPr>
          <w:rFonts w:ascii="Verdana" w:eastAsia="Times New Roman" w:hAnsi="Verdana" w:cs="Times New Roman"/>
          <w:lang w:eastAsia="cs-CZ"/>
        </w:rPr>
      </w:pPr>
      <w:r w:rsidRPr="00EE01D3">
        <w:rPr>
          <w:rFonts w:ascii="Verdana" w:eastAsia="Times New Roman" w:hAnsi="Verdana" w:cs="Times New Roman"/>
          <w:lang w:eastAsia="cs-CZ"/>
        </w:rPr>
        <w:t>oboustranný výtisk nebo kopie formát A4 - 2,00 Kč</w:t>
      </w:r>
    </w:p>
    <w:p w:rsidR="00CD06DC" w:rsidRPr="00EE01D3" w:rsidRDefault="00CD06DC" w:rsidP="00CD06DC">
      <w:pPr>
        <w:numPr>
          <w:ilvl w:val="0"/>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b/>
          <w:bCs/>
          <w:lang w:eastAsia="cs-CZ"/>
        </w:rPr>
        <w:t>Náklady na opatření technických nosičů dat (1 ks):</w:t>
      </w:r>
      <w:r w:rsidRPr="00EE01D3">
        <w:rPr>
          <w:rFonts w:ascii="Verdana" w:eastAsia="Times New Roman" w:hAnsi="Verdana" w:cs="Times New Roman"/>
          <w:lang w:eastAsia="cs-CZ"/>
        </w:rPr>
        <w:t xml:space="preserve"> </w:t>
      </w:r>
    </w:p>
    <w:p w:rsidR="00CD06DC" w:rsidRPr="00EE01D3" w:rsidRDefault="00CD06DC" w:rsidP="00CD06DC">
      <w:pPr>
        <w:numPr>
          <w:ilvl w:val="1"/>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lang w:eastAsia="cs-CZ"/>
        </w:rPr>
        <w:t>CD ROM, DVD ROM - 8,00 Kč</w:t>
      </w:r>
    </w:p>
    <w:p w:rsidR="00CD06DC" w:rsidRPr="00EE01D3" w:rsidRDefault="00CD06DC" w:rsidP="00A62DFD">
      <w:pPr>
        <w:numPr>
          <w:ilvl w:val="1"/>
          <w:numId w:val="1"/>
        </w:numPr>
        <w:spacing w:after="0" w:line="240" w:lineRule="auto"/>
        <w:ind w:left="1434" w:hanging="357"/>
        <w:rPr>
          <w:rFonts w:ascii="Verdana" w:eastAsia="Times New Roman" w:hAnsi="Verdana" w:cs="Times New Roman"/>
          <w:lang w:eastAsia="cs-CZ"/>
        </w:rPr>
      </w:pPr>
      <w:r w:rsidRPr="00EE01D3">
        <w:rPr>
          <w:rFonts w:ascii="Verdana" w:eastAsia="Times New Roman" w:hAnsi="Verdana" w:cs="Times New Roman"/>
          <w:lang w:eastAsia="cs-CZ"/>
        </w:rPr>
        <w:t>jiný technický nosič dat (dále jen „TND“) - podle pořizovací ceny</w:t>
      </w:r>
    </w:p>
    <w:p w:rsidR="00CD06DC" w:rsidRPr="00EE01D3" w:rsidRDefault="00CD06DC" w:rsidP="00A62DFD">
      <w:pPr>
        <w:spacing w:after="120" w:line="240" w:lineRule="auto"/>
        <w:ind w:left="720"/>
        <w:jc w:val="both"/>
        <w:rPr>
          <w:rFonts w:ascii="Verdana" w:eastAsia="Times New Roman" w:hAnsi="Verdana" w:cs="Times New Roman"/>
          <w:lang w:eastAsia="cs-CZ"/>
        </w:rPr>
      </w:pPr>
      <w:r w:rsidRPr="00EE01D3">
        <w:rPr>
          <w:rFonts w:ascii="Verdana" w:eastAsia="Times New Roman" w:hAnsi="Verdana" w:cs="Times New Roman"/>
          <w:lang w:eastAsia="cs-CZ"/>
        </w:rPr>
        <w:t>Pokud žadatel poskytne vlastní TND, na který bude možné požadované informace zaznamenat, nebude úhrada tohoto nákladu uplatňována.</w:t>
      </w:r>
    </w:p>
    <w:p w:rsidR="00CD06DC" w:rsidRPr="00EE01D3" w:rsidRDefault="00CD06DC" w:rsidP="00A62DFD">
      <w:pPr>
        <w:numPr>
          <w:ilvl w:val="0"/>
          <w:numId w:val="1"/>
        </w:numPr>
        <w:spacing w:after="0" w:line="240" w:lineRule="auto"/>
        <w:ind w:left="714" w:hanging="357"/>
        <w:rPr>
          <w:rFonts w:ascii="Verdana" w:eastAsia="Times New Roman" w:hAnsi="Verdana" w:cs="Times New Roman"/>
          <w:lang w:eastAsia="cs-CZ"/>
        </w:rPr>
      </w:pPr>
      <w:r w:rsidRPr="00EE01D3">
        <w:rPr>
          <w:rFonts w:ascii="Verdana" w:eastAsia="Times New Roman" w:hAnsi="Verdana" w:cs="Times New Roman"/>
          <w:b/>
          <w:bCs/>
          <w:lang w:eastAsia="cs-CZ"/>
        </w:rPr>
        <w:t>Náklady na odeslání informací (1 ks):</w:t>
      </w:r>
      <w:r w:rsidRPr="00EE01D3">
        <w:rPr>
          <w:rFonts w:ascii="Verdana" w:eastAsia="Times New Roman" w:hAnsi="Verdana" w:cs="Times New Roman"/>
          <w:lang w:eastAsia="cs-CZ"/>
        </w:rPr>
        <w:t xml:space="preserve"> </w:t>
      </w:r>
    </w:p>
    <w:p w:rsidR="00CD06DC" w:rsidRPr="00EE01D3" w:rsidRDefault="00EE01D3" w:rsidP="00CD06DC">
      <w:pPr>
        <w:numPr>
          <w:ilvl w:val="1"/>
          <w:numId w:val="1"/>
        </w:numPr>
        <w:spacing w:before="100" w:beforeAutospacing="1" w:after="100" w:afterAutospacing="1" w:line="240" w:lineRule="auto"/>
        <w:rPr>
          <w:rFonts w:ascii="Verdana" w:eastAsia="Times New Roman" w:hAnsi="Verdana" w:cs="Times New Roman"/>
          <w:lang w:eastAsia="cs-CZ"/>
        </w:rPr>
      </w:pPr>
      <w:r>
        <w:rPr>
          <w:rFonts w:ascii="Verdana" w:eastAsia="Times New Roman" w:hAnsi="Verdana" w:cs="Times New Roman"/>
          <w:lang w:eastAsia="cs-CZ"/>
        </w:rPr>
        <w:t>b</w:t>
      </w:r>
      <w:r w:rsidR="00CD06DC" w:rsidRPr="00EE01D3">
        <w:rPr>
          <w:rFonts w:ascii="Verdana" w:eastAsia="Times New Roman" w:hAnsi="Verdana" w:cs="Times New Roman"/>
          <w:lang w:eastAsia="cs-CZ"/>
        </w:rPr>
        <w:t>alné podle druhu použitého obalu dle pořizovací ceny</w:t>
      </w:r>
    </w:p>
    <w:p w:rsidR="00CD06DC" w:rsidRPr="00EE01D3" w:rsidRDefault="00EE01D3" w:rsidP="00A62DFD">
      <w:pPr>
        <w:numPr>
          <w:ilvl w:val="1"/>
          <w:numId w:val="1"/>
        </w:numPr>
        <w:spacing w:after="0" w:line="240" w:lineRule="auto"/>
        <w:ind w:left="1434" w:hanging="357"/>
        <w:rPr>
          <w:rFonts w:ascii="Verdana" w:eastAsia="Times New Roman" w:hAnsi="Verdana" w:cs="Times New Roman"/>
          <w:lang w:eastAsia="cs-CZ"/>
        </w:rPr>
      </w:pPr>
      <w:r>
        <w:rPr>
          <w:rFonts w:ascii="Verdana" w:eastAsia="Times New Roman" w:hAnsi="Verdana" w:cs="Times New Roman"/>
          <w:lang w:eastAsia="cs-CZ"/>
        </w:rPr>
        <w:t>p</w:t>
      </w:r>
      <w:r w:rsidR="00CD06DC" w:rsidRPr="00EE01D3">
        <w:rPr>
          <w:rFonts w:ascii="Verdana" w:eastAsia="Times New Roman" w:hAnsi="Verdana" w:cs="Times New Roman"/>
          <w:lang w:eastAsia="cs-CZ"/>
        </w:rPr>
        <w:t>oštovné dle platného ceníku poštovních služeb</w:t>
      </w:r>
    </w:p>
    <w:p w:rsidR="00CD06DC" w:rsidRPr="00EE01D3" w:rsidRDefault="00CD06DC" w:rsidP="00A62DFD">
      <w:pPr>
        <w:spacing w:after="120" w:line="240" w:lineRule="auto"/>
        <w:ind w:left="720"/>
        <w:jc w:val="both"/>
        <w:rPr>
          <w:rFonts w:ascii="Verdana" w:eastAsia="Times New Roman" w:hAnsi="Verdana" w:cs="Times New Roman"/>
          <w:lang w:eastAsia="cs-CZ"/>
        </w:rPr>
      </w:pPr>
      <w:r w:rsidRPr="00EE01D3">
        <w:rPr>
          <w:rFonts w:ascii="Verdana" w:eastAsia="Times New Roman" w:hAnsi="Verdana" w:cs="Times New Roman"/>
          <w:lang w:eastAsia="cs-CZ"/>
        </w:rPr>
        <w:t>V případě osobního odběru požadovaných informací nebude úhrada nákladů na odeslání informací uplatňována.</w:t>
      </w:r>
    </w:p>
    <w:p w:rsidR="00CD06DC" w:rsidRPr="00EE01D3" w:rsidRDefault="00CD06DC" w:rsidP="00A62DFD">
      <w:pPr>
        <w:numPr>
          <w:ilvl w:val="0"/>
          <w:numId w:val="1"/>
        </w:numPr>
        <w:spacing w:after="0" w:line="240" w:lineRule="auto"/>
        <w:ind w:left="714" w:hanging="357"/>
        <w:rPr>
          <w:rFonts w:ascii="Verdana" w:eastAsia="Times New Roman" w:hAnsi="Verdana" w:cs="Times New Roman"/>
          <w:lang w:eastAsia="cs-CZ"/>
        </w:rPr>
      </w:pPr>
      <w:r w:rsidRPr="00EE01D3">
        <w:rPr>
          <w:rFonts w:ascii="Verdana" w:eastAsia="Times New Roman" w:hAnsi="Verdana" w:cs="Times New Roman"/>
          <w:b/>
          <w:bCs/>
          <w:lang w:eastAsia="cs-CZ"/>
        </w:rPr>
        <w:t>Úhrada na mimořádně rozsáhlé vyhledání informací:</w:t>
      </w:r>
      <w:r w:rsidRPr="00EE01D3">
        <w:rPr>
          <w:rFonts w:ascii="Verdana" w:eastAsia="Times New Roman" w:hAnsi="Verdana" w:cs="Times New Roman"/>
          <w:lang w:eastAsia="cs-CZ"/>
        </w:rPr>
        <w:t xml:space="preserve"> </w:t>
      </w:r>
    </w:p>
    <w:p w:rsidR="00CD06DC" w:rsidRPr="00EE01D3" w:rsidRDefault="00EE01D3" w:rsidP="00CD06DC">
      <w:pPr>
        <w:numPr>
          <w:ilvl w:val="1"/>
          <w:numId w:val="1"/>
        </w:numPr>
        <w:spacing w:before="100" w:beforeAutospacing="1" w:after="100" w:afterAutospacing="1" w:line="240" w:lineRule="auto"/>
        <w:rPr>
          <w:rFonts w:ascii="Verdana" w:eastAsia="Times New Roman" w:hAnsi="Verdana" w:cs="Times New Roman"/>
          <w:lang w:eastAsia="cs-CZ"/>
        </w:rPr>
      </w:pPr>
      <w:r>
        <w:rPr>
          <w:rFonts w:ascii="Verdana" w:eastAsia="Times New Roman" w:hAnsi="Verdana" w:cs="Times New Roman"/>
          <w:lang w:eastAsia="cs-CZ"/>
        </w:rPr>
        <w:t>z</w:t>
      </w:r>
      <w:r w:rsidR="00CD06DC" w:rsidRPr="00EE01D3">
        <w:rPr>
          <w:rFonts w:ascii="Verdana" w:eastAsia="Times New Roman" w:hAnsi="Verdana" w:cs="Times New Roman"/>
          <w:lang w:eastAsia="cs-CZ"/>
        </w:rPr>
        <w:t>a každou započatou hodinu práce referenta - 2</w:t>
      </w:r>
      <w:r w:rsidR="00DF45F2">
        <w:rPr>
          <w:rFonts w:ascii="Verdana" w:eastAsia="Times New Roman" w:hAnsi="Verdana" w:cs="Times New Roman"/>
          <w:lang w:eastAsia="cs-CZ"/>
        </w:rPr>
        <w:t>4</w:t>
      </w:r>
      <w:r w:rsidR="00CD06DC" w:rsidRPr="00EE01D3">
        <w:rPr>
          <w:rFonts w:ascii="Verdana" w:eastAsia="Times New Roman" w:hAnsi="Verdana" w:cs="Times New Roman"/>
          <w:lang w:eastAsia="cs-CZ"/>
        </w:rPr>
        <w:t>0 Kč</w:t>
      </w:r>
      <w:r>
        <w:rPr>
          <w:rFonts w:ascii="Verdana" w:eastAsia="Times New Roman" w:hAnsi="Verdana" w:cs="Times New Roman"/>
          <w:lang w:eastAsia="cs-CZ"/>
        </w:rPr>
        <w:t>.</w:t>
      </w:r>
    </w:p>
    <w:p w:rsidR="00A62DFD" w:rsidRPr="00EE01D3" w:rsidRDefault="00CD06DC" w:rsidP="00A62DFD">
      <w:pPr>
        <w:spacing w:after="0" w:line="240" w:lineRule="auto"/>
        <w:jc w:val="both"/>
        <w:rPr>
          <w:rFonts w:ascii="Verdana" w:eastAsia="Times New Roman" w:hAnsi="Verdana" w:cs="Times New Roman"/>
          <w:lang w:eastAsia="cs-CZ"/>
        </w:rPr>
      </w:pPr>
      <w:r w:rsidRPr="00EE01D3">
        <w:rPr>
          <w:rFonts w:ascii="Verdana" w:eastAsia="Times New Roman" w:hAnsi="Verdana" w:cs="Times New Roman"/>
          <w:b/>
          <w:bCs/>
          <w:lang w:eastAsia="cs-CZ"/>
        </w:rPr>
        <w:t>Celková výše úhrady nákladů</w:t>
      </w:r>
      <w:r w:rsidRPr="00EE01D3">
        <w:rPr>
          <w:rFonts w:ascii="Verdana" w:eastAsia="Times New Roman" w:hAnsi="Verdana" w:cs="Times New Roman"/>
          <w:lang w:eastAsia="cs-CZ"/>
        </w:rPr>
        <w:t xml:space="preserve">, která vznikne součtem dílčích částek za pořízení výtisků nebo kopií, za opatření TND, za odeslání informací žadateli a za mimořádně rozsáhlé vyhledávání informací, se zaokrouhlí na celé Kč směrem dolů. </w:t>
      </w:r>
    </w:p>
    <w:p w:rsidR="00CD06DC" w:rsidRPr="00EE01D3" w:rsidRDefault="00CD06DC" w:rsidP="00A62DFD">
      <w:pPr>
        <w:spacing w:after="120" w:line="240" w:lineRule="auto"/>
        <w:jc w:val="both"/>
        <w:rPr>
          <w:rFonts w:ascii="Verdana" w:eastAsia="Times New Roman" w:hAnsi="Verdana" w:cs="Times New Roman"/>
          <w:lang w:eastAsia="cs-CZ"/>
        </w:rPr>
      </w:pPr>
      <w:r w:rsidRPr="00EE01D3">
        <w:rPr>
          <w:rFonts w:ascii="Verdana" w:eastAsia="Times New Roman" w:hAnsi="Verdana" w:cs="Times New Roman"/>
          <w:lang w:eastAsia="cs-CZ"/>
        </w:rPr>
        <w:t xml:space="preserve">Pokud celkové náklady na poskytnutí informace nepřesáhnou částku 100 Kč, pak se úhrada nákladů nevyžaduje.       </w:t>
      </w:r>
    </w:p>
    <w:p w:rsidR="00CD06DC" w:rsidRPr="00EE01D3" w:rsidRDefault="00CD06DC" w:rsidP="00A62DFD">
      <w:pPr>
        <w:spacing w:after="0" w:line="240" w:lineRule="auto"/>
        <w:rPr>
          <w:rFonts w:ascii="Verdana" w:eastAsia="Times New Roman" w:hAnsi="Verdana" w:cs="Times New Roman"/>
          <w:lang w:eastAsia="cs-CZ"/>
        </w:rPr>
      </w:pPr>
      <w:r w:rsidRPr="00EE01D3">
        <w:rPr>
          <w:rFonts w:ascii="Verdana" w:eastAsia="Times New Roman" w:hAnsi="Verdana" w:cs="Times New Roman"/>
          <w:b/>
          <w:bCs/>
          <w:lang w:eastAsia="cs-CZ"/>
        </w:rPr>
        <w:t>Forma úhrady:</w:t>
      </w:r>
    </w:p>
    <w:p w:rsidR="00CD06DC" w:rsidRPr="00EE01D3" w:rsidRDefault="00CD06DC" w:rsidP="00EE01D3">
      <w:pPr>
        <w:spacing w:after="0" w:line="240" w:lineRule="auto"/>
        <w:rPr>
          <w:rFonts w:ascii="Verdana" w:eastAsia="Times New Roman" w:hAnsi="Verdana" w:cs="Times New Roman"/>
          <w:lang w:eastAsia="cs-CZ"/>
        </w:rPr>
      </w:pPr>
      <w:r w:rsidRPr="00EE01D3">
        <w:rPr>
          <w:rFonts w:ascii="Verdana" w:eastAsia="Times New Roman" w:hAnsi="Verdana" w:cs="Times New Roman"/>
          <w:b/>
          <w:bCs/>
          <w:lang w:eastAsia="cs-CZ"/>
        </w:rPr>
        <w:t>Hotově</w:t>
      </w:r>
      <w:r w:rsidRPr="00EE01D3">
        <w:rPr>
          <w:rFonts w:ascii="Verdana" w:eastAsia="Times New Roman" w:hAnsi="Verdana" w:cs="Times New Roman"/>
          <w:lang w:eastAsia="cs-CZ"/>
        </w:rPr>
        <w:t xml:space="preserve"> – v pokladně obecního úřadu.</w:t>
      </w:r>
      <w:r w:rsidRPr="00EE01D3">
        <w:rPr>
          <w:rFonts w:ascii="Verdana" w:eastAsia="Times New Roman" w:hAnsi="Verdana" w:cs="Times New Roman"/>
          <w:lang w:eastAsia="cs-CZ"/>
        </w:rPr>
        <w:br/>
      </w:r>
      <w:r w:rsidRPr="00EE01D3">
        <w:rPr>
          <w:rFonts w:ascii="Verdana" w:eastAsia="Times New Roman" w:hAnsi="Verdana" w:cs="Times New Roman"/>
          <w:b/>
          <w:bCs/>
          <w:lang w:eastAsia="cs-CZ"/>
        </w:rPr>
        <w:t>Převodním příkazem</w:t>
      </w:r>
      <w:r w:rsidRPr="00EE01D3">
        <w:rPr>
          <w:rFonts w:ascii="Verdana" w:eastAsia="Times New Roman" w:hAnsi="Verdana" w:cs="Times New Roman"/>
          <w:lang w:eastAsia="cs-CZ"/>
        </w:rPr>
        <w:t xml:space="preserve"> – </w:t>
      </w:r>
      <w:r w:rsidRPr="00EE01D3">
        <w:rPr>
          <w:rFonts w:ascii="Verdana" w:hAnsi="Verdana"/>
          <w:color w:val="000000"/>
        </w:rPr>
        <w:t xml:space="preserve">na č. </w:t>
      </w:r>
      <w:proofErr w:type="gramStart"/>
      <w:r w:rsidRPr="00EE01D3">
        <w:rPr>
          <w:rFonts w:ascii="Verdana" w:hAnsi="Verdana"/>
          <w:color w:val="000000"/>
        </w:rPr>
        <w:t>ú .</w:t>
      </w:r>
      <w:proofErr w:type="gramEnd"/>
      <w:r w:rsidRPr="00EE01D3">
        <w:rPr>
          <w:rFonts w:ascii="Verdana" w:hAnsi="Verdana"/>
          <w:color w:val="000000"/>
        </w:rPr>
        <w:t xml:space="preserve"> 11220391/0100</w:t>
      </w:r>
      <w:r w:rsidR="00EE01D3">
        <w:rPr>
          <w:rFonts w:ascii="Verdana" w:hAnsi="Verdana"/>
          <w:color w:val="000000"/>
        </w:rPr>
        <w:t xml:space="preserve">, </w:t>
      </w:r>
      <w:r w:rsidR="00EE01D3">
        <w:rPr>
          <w:rStyle w:val="Zdraznn"/>
          <w:rFonts w:ascii="Verdana" w:hAnsi="Verdana"/>
        </w:rPr>
        <w:t>v</w:t>
      </w:r>
      <w:r w:rsidRPr="00EE01D3">
        <w:rPr>
          <w:rStyle w:val="Zdraznn"/>
          <w:rFonts w:ascii="Verdana" w:hAnsi="Verdana"/>
        </w:rPr>
        <w:t xml:space="preserve">ariabilní symbol tvoří číslo zákona o svobodném přístupu k informacím </w:t>
      </w:r>
      <w:r w:rsidR="00EE01D3">
        <w:rPr>
          <w:rStyle w:val="Zdraznn"/>
          <w:rFonts w:ascii="Verdana" w:hAnsi="Verdana"/>
        </w:rPr>
        <w:t>tj.</w:t>
      </w:r>
      <w:r w:rsidRPr="00EE01D3">
        <w:rPr>
          <w:rFonts w:ascii="Verdana" w:hAnsi="Verdana"/>
          <w:color w:val="000000"/>
        </w:rPr>
        <w:t xml:space="preserve"> 1061999</w:t>
      </w:r>
      <w:r w:rsidR="00EE01D3">
        <w:rPr>
          <w:rFonts w:ascii="Verdana" w:hAnsi="Verdana"/>
          <w:color w:val="000000"/>
        </w:rPr>
        <w:t>.</w:t>
      </w:r>
    </w:p>
    <w:p w:rsidR="00CD06DC" w:rsidRPr="00EE01D3" w:rsidRDefault="00CD06DC" w:rsidP="00CD06DC">
      <w:pPr>
        <w:pStyle w:val="Normlnweb"/>
        <w:jc w:val="both"/>
        <w:rPr>
          <w:rFonts w:ascii="Verdana" w:hAnsi="Verdana"/>
          <w:sz w:val="22"/>
          <w:szCs w:val="22"/>
        </w:rPr>
      </w:pPr>
      <w:r w:rsidRPr="00EE01D3">
        <w:rPr>
          <w:rFonts w:ascii="Verdana" w:hAnsi="Verdana"/>
          <w:sz w:val="22"/>
          <w:szCs w:val="22"/>
        </w:rPr>
        <w:t>V případě, že bude povinný subjekt za poskytnutí informace požadovat úhradu, písemně oznámí tuto skutečnost spolu s výší úhrady žadateli před poskytnutím informace. Z oznámení musí být zřejmé, na</w:t>
      </w:r>
      <w:r w:rsidR="00DF45F2">
        <w:rPr>
          <w:rFonts w:ascii="Verdana" w:hAnsi="Verdana"/>
          <w:sz w:val="22"/>
          <w:szCs w:val="22"/>
        </w:rPr>
        <w:t xml:space="preserve"> </w:t>
      </w:r>
      <w:proofErr w:type="gramStart"/>
      <w:r w:rsidRPr="00EE01D3">
        <w:rPr>
          <w:rFonts w:ascii="Verdana" w:hAnsi="Verdana"/>
          <w:sz w:val="22"/>
          <w:szCs w:val="22"/>
        </w:rPr>
        <w:t>základě</w:t>
      </w:r>
      <w:proofErr w:type="gramEnd"/>
      <w:r w:rsidRPr="00EE01D3">
        <w:rPr>
          <w:rFonts w:ascii="Verdana" w:hAnsi="Verdana"/>
          <w:sz w:val="22"/>
          <w:szCs w:val="22"/>
        </w:rPr>
        <w:t xml:space="preserve"> jakých skutečností a jakým způsobem byla výše úhrady povinným subjektem vyčíslena. </w:t>
      </w:r>
      <w:r w:rsidRPr="00EE01D3">
        <w:rPr>
          <w:rStyle w:val="Siln"/>
          <w:rFonts w:ascii="Verdana" w:hAnsi="Verdana"/>
          <w:sz w:val="22"/>
          <w:szCs w:val="22"/>
        </w:rPr>
        <w:t>Poskytnutí informace je podmíněno zaplacením požadované úhrady.</w:t>
      </w:r>
    </w:p>
    <w:p w:rsidR="00CD06DC" w:rsidRPr="00EE01D3" w:rsidRDefault="00CD06DC" w:rsidP="00CD06DC">
      <w:pPr>
        <w:pStyle w:val="Normlnweb"/>
        <w:jc w:val="both"/>
        <w:rPr>
          <w:rFonts w:ascii="Verdana" w:hAnsi="Verdana"/>
          <w:sz w:val="22"/>
          <w:szCs w:val="22"/>
        </w:rPr>
      </w:pPr>
      <w:r w:rsidRPr="00EE01D3">
        <w:rPr>
          <w:rFonts w:ascii="Verdana" w:hAnsi="Verdana"/>
          <w:sz w:val="22"/>
          <w:szCs w:val="22"/>
        </w:rPr>
        <w:t>Součástí oznámení o vyčíslení nákladů podle zákona o svobodném přístupu k informacím musí být poučení o možnosti podat proti požadavku úhrady nákladů za poskytnutí informace stížnost podle § 16a odst. 1 písm. d) zákona o svobodném přístupu k informacím, ze kterého je patrné, v jaké lhůtě lze stížnost podat, od kterého dne se tato lhůta počítá, který nadřízený orgán o ní rozhoduje a u kterého povinného subjektu se podává. Pokud žadatel do 60 dnů ode dne oznámení výše požadované úhrady úhradu nezaplatí, povinný subjekt žádost odloží. Tento odstavec se pro účely žádostí podle GDPR nepoužije.</w:t>
      </w:r>
    </w:p>
    <w:p w:rsidR="00CD06DC" w:rsidRPr="00EE01D3" w:rsidRDefault="00CD06DC" w:rsidP="00CD06DC">
      <w:pPr>
        <w:pStyle w:val="Normlnweb"/>
        <w:jc w:val="both"/>
        <w:rPr>
          <w:rFonts w:ascii="Verdana" w:hAnsi="Verdana"/>
          <w:sz w:val="22"/>
          <w:szCs w:val="22"/>
        </w:rPr>
      </w:pPr>
      <w:r w:rsidRPr="00EE01D3">
        <w:rPr>
          <w:rFonts w:ascii="Verdana" w:hAnsi="Verdana"/>
          <w:sz w:val="22"/>
          <w:szCs w:val="22"/>
        </w:rPr>
        <w:t xml:space="preserve">Tento sazebník se stanovuje od 1. </w:t>
      </w:r>
      <w:r w:rsidR="00DF45F2">
        <w:rPr>
          <w:rFonts w:ascii="Verdana" w:hAnsi="Verdana"/>
          <w:sz w:val="22"/>
          <w:szCs w:val="22"/>
        </w:rPr>
        <w:t>ledna</w:t>
      </w:r>
      <w:r w:rsidRPr="00EE01D3">
        <w:rPr>
          <w:rFonts w:ascii="Verdana" w:hAnsi="Verdana"/>
          <w:sz w:val="22"/>
          <w:szCs w:val="22"/>
        </w:rPr>
        <w:t> 20</w:t>
      </w:r>
      <w:r w:rsidR="00DF45F2">
        <w:rPr>
          <w:rFonts w:ascii="Verdana" w:hAnsi="Verdana"/>
          <w:sz w:val="22"/>
          <w:szCs w:val="22"/>
        </w:rPr>
        <w:t>22</w:t>
      </w:r>
      <w:r w:rsidRPr="00EE01D3">
        <w:rPr>
          <w:rFonts w:ascii="Verdana" w:hAnsi="Verdana"/>
          <w:sz w:val="22"/>
          <w:szCs w:val="22"/>
        </w:rPr>
        <w:t xml:space="preserve"> </w:t>
      </w:r>
    </w:p>
    <w:p w:rsidR="004D39B2" w:rsidRDefault="004D39B2"/>
    <w:sectPr w:rsidR="004D39B2" w:rsidSect="00A62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A35D4"/>
    <w:multiLevelType w:val="multilevel"/>
    <w:tmpl w:val="7CA8B50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701709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DC"/>
    <w:rsid w:val="004D39B2"/>
    <w:rsid w:val="00A62DFD"/>
    <w:rsid w:val="00B20439"/>
    <w:rsid w:val="00CD06DC"/>
    <w:rsid w:val="00DF45F2"/>
    <w:rsid w:val="00EE0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8D2B"/>
  <w15:chartTrackingRefBased/>
  <w15:docId w15:val="{1F04A7B4-3EA1-4812-B971-223F7666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D06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D06DC"/>
    <w:rPr>
      <w:i/>
      <w:iCs/>
    </w:rPr>
  </w:style>
  <w:style w:type="character" w:styleId="Siln">
    <w:name w:val="Strong"/>
    <w:basedOn w:val="Standardnpsmoodstavce"/>
    <w:uiPriority w:val="22"/>
    <w:qFormat/>
    <w:rsid w:val="00CD0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4424">
      <w:bodyDiv w:val="1"/>
      <w:marLeft w:val="0"/>
      <w:marRight w:val="0"/>
      <w:marTop w:val="0"/>
      <w:marBottom w:val="0"/>
      <w:divBdr>
        <w:top w:val="none" w:sz="0" w:space="0" w:color="auto"/>
        <w:left w:val="none" w:sz="0" w:space="0" w:color="auto"/>
        <w:bottom w:val="none" w:sz="0" w:space="0" w:color="auto"/>
        <w:right w:val="none" w:sz="0" w:space="0" w:color="auto"/>
      </w:divBdr>
      <w:divsChild>
        <w:div w:id="1913159098">
          <w:marLeft w:val="0"/>
          <w:marRight w:val="0"/>
          <w:marTop w:val="0"/>
          <w:marBottom w:val="0"/>
          <w:divBdr>
            <w:top w:val="none" w:sz="0" w:space="0" w:color="auto"/>
            <w:left w:val="none" w:sz="0" w:space="0" w:color="auto"/>
            <w:bottom w:val="none" w:sz="0" w:space="0" w:color="auto"/>
            <w:right w:val="none" w:sz="0" w:space="0" w:color="auto"/>
          </w:divBdr>
          <w:divsChild>
            <w:div w:id="1101292374">
              <w:marLeft w:val="0"/>
              <w:marRight w:val="0"/>
              <w:marTop w:val="0"/>
              <w:marBottom w:val="0"/>
              <w:divBdr>
                <w:top w:val="none" w:sz="0" w:space="0" w:color="auto"/>
                <w:left w:val="none" w:sz="0" w:space="0" w:color="auto"/>
                <w:bottom w:val="none" w:sz="0" w:space="0" w:color="auto"/>
                <w:right w:val="none" w:sz="0" w:space="0" w:color="auto"/>
              </w:divBdr>
              <w:divsChild>
                <w:div w:id="1472016235">
                  <w:marLeft w:val="0"/>
                  <w:marRight w:val="0"/>
                  <w:marTop w:val="0"/>
                  <w:marBottom w:val="0"/>
                  <w:divBdr>
                    <w:top w:val="none" w:sz="0" w:space="0" w:color="auto"/>
                    <w:left w:val="none" w:sz="0" w:space="0" w:color="auto"/>
                    <w:bottom w:val="none" w:sz="0" w:space="0" w:color="auto"/>
                    <w:right w:val="none" w:sz="0" w:space="0" w:color="auto"/>
                  </w:divBdr>
                  <w:divsChild>
                    <w:div w:id="4789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6555">
      <w:bodyDiv w:val="1"/>
      <w:marLeft w:val="0"/>
      <w:marRight w:val="0"/>
      <w:marTop w:val="0"/>
      <w:marBottom w:val="0"/>
      <w:divBdr>
        <w:top w:val="none" w:sz="0" w:space="0" w:color="auto"/>
        <w:left w:val="none" w:sz="0" w:space="0" w:color="auto"/>
        <w:bottom w:val="none" w:sz="0" w:space="0" w:color="auto"/>
        <w:right w:val="none" w:sz="0" w:space="0" w:color="auto"/>
      </w:divBdr>
      <w:divsChild>
        <w:div w:id="20399033">
          <w:marLeft w:val="0"/>
          <w:marRight w:val="0"/>
          <w:marTop w:val="0"/>
          <w:marBottom w:val="0"/>
          <w:divBdr>
            <w:top w:val="none" w:sz="0" w:space="0" w:color="auto"/>
            <w:left w:val="none" w:sz="0" w:space="0" w:color="auto"/>
            <w:bottom w:val="none" w:sz="0" w:space="0" w:color="auto"/>
            <w:right w:val="none" w:sz="0" w:space="0" w:color="auto"/>
          </w:divBdr>
          <w:divsChild>
            <w:div w:id="341518949">
              <w:marLeft w:val="0"/>
              <w:marRight w:val="0"/>
              <w:marTop w:val="0"/>
              <w:marBottom w:val="0"/>
              <w:divBdr>
                <w:top w:val="none" w:sz="0" w:space="0" w:color="auto"/>
                <w:left w:val="none" w:sz="0" w:space="0" w:color="auto"/>
                <w:bottom w:val="none" w:sz="0" w:space="0" w:color="auto"/>
                <w:right w:val="none" w:sz="0" w:space="0" w:color="auto"/>
              </w:divBdr>
              <w:divsChild>
                <w:div w:id="1141734009">
                  <w:marLeft w:val="0"/>
                  <w:marRight w:val="0"/>
                  <w:marTop w:val="0"/>
                  <w:marBottom w:val="0"/>
                  <w:divBdr>
                    <w:top w:val="none" w:sz="0" w:space="0" w:color="auto"/>
                    <w:left w:val="none" w:sz="0" w:space="0" w:color="auto"/>
                    <w:bottom w:val="none" w:sz="0" w:space="0" w:color="auto"/>
                    <w:right w:val="none" w:sz="0" w:space="0" w:color="auto"/>
                  </w:divBdr>
                  <w:divsChild>
                    <w:div w:id="202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70573">
      <w:bodyDiv w:val="1"/>
      <w:marLeft w:val="0"/>
      <w:marRight w:val="0"/>
      <w:marTop w:val="0"/>
      <w:marBottom w:val="0"/>
      <w:divBdr>
        <w:top w:val="none" w:sz="0" w:space="0" w:color="auto"/>
        <w:left w:val="none" w:sz="0" w:space="0" w:color="auto"/>
        <w:bottom w:val="none" w:sz="0" w:space="0" w:color="auto"/>
        <w:right w:val="none" w:sz="0" w:space="0" w:color="auto"/>
      </w:divBdr>
      <w:divsChild>
        <w:div w:id="132018782">
          <w:marLeft w:val="0"/>
          <w:marRight w:val="0"/>
          <w:marTop w:val="0"/>
          <w:marBottom w:val="0"/>
          <w:divBdr>
            <w:top w:val="none" w:sz="0" w:space="0" w:color="auto"/>
            <w:left w:val="none" w:sz="0" w:space="0" w:color="auto"/>
            <w:bottom w:val="none" w:sz="0" w:space="0" w:color="auto"/>
            <w:right w:val="none" w:sz="0" w:space="0" w:color="auto"/>
          </w:divBdr>
          <w:divsChild>
            <w:div w:id="1919166263">
              <w:marLeft w:val="0"/>
              <w:marRight w:val="0"/>
              <w:marTop w:val="0"/>
              <w:marBottom w:val="0"/>
              <w:divBdr>
                <w:top w:val="none" w:sz="0" w:space="0" w:color="auto"/>
                <w:left w:val="none" w:sz="0" w:space="0" w:color="auto"/>
                <w:bottom w:val="none" w:sz="0" w:space="0" w:color="auto"/>
                <w:right w:val="none" w:sz="0" w:space="0" w:color="auto"/>
              </w:divBdr>
              <w:divsChild>
                <w:div w:id="20473149">
                  <w:marLeft w:val="0"/>
                  <w:marRight w:val="0"/>
                  <w:marTop w:val="0"/>
                  <w:marBottom w:val="0"/>
                  <w:divBdr>
                    <w:top w:val="none" w:sz="0" w:space="0" w:color="auto"/>
                    <w:left w:val="none" w:sz="0" w:space="0" w:color="auto"/>
                    <w:bottom w:val="none" w:sz="0" w:space="0" w:color="auto"/>
                    <w:right w:val="none" w:sz="0" w:space="0" w:color="auto"/>
                  </w:divBdr>
                  <w:divsChild>
                    <w:div w:id="610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2629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Onak Jan</dc:creator>
  <cp:keywords/>
  <dc:description/>
  <cp:lastModifiedBy>Jan Onak</cp:lastModifiedBy>
  <cp:revision>2</cp:revision>
  <dcterms:created xsi:type="dcterms:W3CDTF">2022-12-11T19:45:00Z</dcterms:created>
  <dcterms:modified xsi:type="dcterms:W3CDTF">2022-12-11T19:45:00Z</dcterms:modified>
</cp:coreProperties>
</file>