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-99695</wp:posOffset>
            </wp:positionV>
            <wp:extent cx="654050" cy="736600"/>
            <wp:effectExtent l="0" t="0" r="0" b="6350"/>
            <wp:wrapNone/>
            <wp:docPr id="2" name="Obrázek 3" descr="Josefov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Josefov mal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Obec Josefov, Josefov 12, 357 09 Josefov, okres Sokolov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PRAVIDLA PRO VYDÁVÁNÍ JOSEFOVSKÝCH LISTŮ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1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Úvodní ustanovení</w:t>
      </w:r>
    </w:p>
    <w:p w:rsidR="008009DC" w:rsidRDefault="0010205C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Pravidla upravují vydávání zpravodaje obce Josefov s názvem „Josefovské listy“.</w:t>
      </w:r>
    </w:p>
    <w:p w:rsidR="008009DC" w:rsidRDefault="0010205C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Pravidla jsou závazná pro všechny autory a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editora.</w:t>
      </w:r>
      <w:r>
        <w:rPr>
          <w:rFonts w:ascii="Verdana" w:hAnsi="Verdana"/>
          <w:color w:val="FF0000"/>
        </w:rPr>
        <w:t xml:space="preserve">           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2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Základní ustanovení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 Název periodika: </w:t>
      </w:r>
      <w:r>
        <w:rPr>
          <w:rFonts w:ascii="Verdana" w:hAnsi="Verdana"/>
          <w:bCs/>
        </w:rPr>
        <w:tab/>
        <w:t>Josefovské listy (užívaná zkratka: JL)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2. Vydavatel: </w:t>
      </w:r>
      <w:r>
        <w:rPr>
          <w:rFonts w:ascii="Verdana" w:hAnsi="Verdana"/>
        </w:rPr>
        <w:tab/>
        <w:t xml:space="preserve">         obec Josefov se sídlem Josefov 12, 357 09 Josefov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 Evidence:</w:t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 Ministerstva kultury ČR pod ev. č. E 221999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proofErr w:type="gramStart"/>
      <w:r>
        <w:rPr>
          <w:rFonts w:ascii="Verdana" w:hAnsi="Verdana"/>
        </w:rPr>
        <w:t xml:space="preserve">Náklad:  </w:t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ab/>
        <w:t xml:space="preserve">         vychází min. 4x ročně, v </w:t>
      </w:r>
      <w:r>
        <w:rPr>
          <w:rFonts w:ascii="Verdana" w:hAnsi="Verdana"/>
          <w:color w:val="000000" w:themeColor="text1"/>
        </w:rPr>
        <w:t>nákladu 160  kusů</w:t>
      </w:r>
      <w:r>
        <w:rPr>
          <w:rFonts w:ascii="Verdana" w:hAnsi="Verdana"/>
        </w:rPr>
        <w:t>,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v elektronické podobě dostupný na webu obce </w:t>
      </w:r>
      <w:hyperlink r:id="rId8" w:history="1">
        <w:r>
          <w:rPr>
            <w:rStyle w:val="Hypertextovodkaz"/>
            <w:rFonts w:ascii="Verdana" w:hAnsi="Verdana"/>
            <w:color w:val="auto"/>
            <w:u w:val="none"/>
          </w:rPr>
          <w:t>www.obecjosefov.cz</w:t>
        </w:r>
      </w:hyperlink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5. Financování: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náklady na vydávání jsou hrazeny</w:t>
      </w:r>
      <w:r>
        <w:rPr>
          <w:rFonts w:ascii="Verdana" w:hAnsi="Verdana"/>
        </w:rPr>
        <w:t xml:space="preserve"> z prostředků obce Josefov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proofErr w:type="gramStart"/>
      <w:r>
        <w:rPr>
          <w:rFonts w:ascii="Verdana" w:hAnsi="Verdana"/>
        </w:rPr>
        <w:t xml:space="preserve">Tisk:   </w:t>
      </w:r>
      <w:proofErr w:type="gramEnd"/>
      <w:r>
        <w:rPr>
          <w:rFonts w:ascii="Verdana" w:hAnsi="Verdana"/>
        </w:rPr>
        <w:t xml:space="preserve">               </w:t>
      </w:r>
      <w:r>
        <w:rPr>
          <w:rFonts w:ascii="Verdana" w:hAnsi="Verdana"/>
        </w:rPr>
        <w:tab/>
        <w:t>zajišťuje firma na základě smlouvy s vydavatelem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 Distribuce:</w:t>
      </w:r>
      <w:r>
        <w:rPr>
          <w:rFonts w:ascii="Verdana" w:hAnsi="Verdana"/>
        </w:rPr>
        <w:tab/>
        <w:t xml:space="preserve">         bezplatně zajišťuje obec Josefov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3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Tematické zaměření a obsah</w:t>
      </w:r>
    </w:p>
    <w:p w:rsidR="008009DC" w:rsidRDefault="0010205C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Obec Josefov vydává JL za účelem poskytnout obyvatelům obce</w:t>
      </w:r>
      <w:r>
        <w:rPr>
          <w:rFonts w:ascii="Verdana" w:hAnsi="Verdana"/>
        </w:rPr>
        <w:t xml:space="preserve"> informace o činnosti a životě v obci, to vše v souladu se zákonem č. 46/2000 Sb., o právech a povinnostech při vydávání periodického tisku a o změně některých dalších zákonů (dále jen tiskový zákon).</w:t>
      </w:r>
    </w:p>
    <w:p w:rsidR="008009DC" w:rsidRDefault="0010205C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trike/>
        </w:rPr>
      </w:pPr>
      <w:r>
        <w:rPr>
          <w:rFonts w:ascii="Verdana" w:hAnsi="Verdana"/>
        </w:rPr>
        <w:t>Pro naplnění tohoto účelu jsou v JL zveřejňovány zejmén</w:t>
      </w:r>
      <w:r>
        <w:rPr>
          <w:rFonts w:ascii="Verdana" w:hAnsi="Verdana"/>
        </w:rPr>
        <w:t>a informace o činnosti místní samosprávy a obecního úřadu, sdělení a informace o dění v obci, informace organizací a institucí, příspěvky občanů, které se vztahují k životu a dění v obci a inzerce, reklama, či blahopřání.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4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Editor (E)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Tvorbu a vydá</w:t>
      </w:r>
      <w:r>
        <w:rPr>
          <w:rFonts w:ascii="Verdana" w:hAnsi="Verdana"/>
        </w:rPr>
        <w:t>ní JL zajišťuje editor (užívaná zkratka: (E)), zejména: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vytváří grafickou podobu zpravodaje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upravuje články a příspěvky (inzerci, reklamu) do konečné podoby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odpovídá za finální podobu JL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vybírá a připravuje písemné a vizuální materiály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spolupracuje s autor</w:t>
      </w:r>
      <w:r>
        <w:rPr>
          <w:rFonts w:ascii="Verdana" w:hAnsi="Verdana"/>
        </w:rPr>
        <w:t>y článků či příspěvků (inzerce, reklamy)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odpovídá za vyváženost názorů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odpovídá za shodu zveřejněných příspěvků s jejich předlohami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zajišťuje náplň zpravodaje</w:t>
      </w:r>
    </w:p>
    <w:p w:rsidR="008009DC" w:rsidRDefault="0010205C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odpovídá za včasné předání předlohy JL do tisku.</w:t>
      </w:r>
    </w:p>
    <w:p w:rsidR="008009DC" w:rsidRDefault="0010205C">
      <w:pPr>
        <w:spacing w:after="0" w:line="240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Editor je oprávněn, pro účely těchto pravidel, </w:t>
      </w:r>
      <w:r>
        <w:rPr>
          <w:rFonts w:ascii="Verdana" w:eastAsia="Calibri" w:hAnsi="Verdana"/>
          <w:lang w:eastAsia="en-US"/>
        </w:rPr>
        <w:t>zpracovávat osobní údaje poskytnuté subjektem údajů.</w:t>
      </w:r>
    </w:p>
    <w:p w:rsidR="008009DC" w:rsidRDefault="008009DC">
      <w:pPr>
        <w:spacing w:after="0" w:line="240" w:lineRule="auto"/>
        <w:jc w:val="both"/>
        <w:rPr>
          <w:rFonts w:ascii="Verdana" w:eastAsia="Calibri" w:hAnsi="Verdana"/>
          <w:color w:val="0070C0"/>
          <w:lang w:eastAsia="en-US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5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Zveřejňování příspěvků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Na zveřejnění zaslaného příspěvku autorovi nevzniká právní nárok (neurčuje-li tak zákon).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Osoba, která zašle příspěvek do obecního zpravodaje (článek, komentář, inzerci, </w:t>
      </w:r>
      <w:proofErr w:type="gramStart"/>
      <w:r>
        <w:rPr>
          <w:rFonts w:ascii="Verdana" w:hAnsi="Verdana"/>
        </w:rPr>
        <w:t>blahopřání,</w:t>
      </w:r>
      <w:proofErr w:type="gramEnd"/>
      <w:r>
        <w:rPr>
          <w:rFonts w:ascii="Verdana" w:hAnsi="Verdana"/>
        </w:rPr>
        <w:t xml:space="preserve"> apod.) nebo poskytne jiné dokumenty určené ke zveřejnění, dává tímto souhlas se zpracováním poskytnutých osobních údajů. Tyto údaje budou použity pro zpracování, vydání a archivaci.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Ve zpravodaji nejsou zveřejňovány:</w:t>
      </w:r>
    </w:p>
    <w:p w:rsidR="008009DC" w:rsidRDefault="0010205C">
      <w:pPr>
        <w:pStyle w:val="Odstavecseseznamem1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příspěvky, které by narušil</w:t>
      </w:r>
      <w:r>
        <w:rPr>
          <w:rFonts w:ascii="Verdana" w:hAnsi="Verdana"/>
        </w:rPr>
        <w:t>y lidskou důstojnost, osobní čest, dobrou pověst nebo by jinak zasahovaly do soukromého a rodinného života osoby,</w:t>
      </w:r>
    </w:p>
    <w:p w:rsidR="008009DC" w:rsidRDefault="0010205C">
      <w:pPr>
        <w:pStyle w:val="Odstavecseseznamem1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příspěvky, které by narušily ochranu práv a svobod druhých, bezpečnost státu, veřejnou bezpečnost, ochranu veřejného zdraví a mravnosti,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  <w:strike/>
        </w:rPr>
      </w:pPr>
      <w:r>
        <w:rPr>
          <w:rFonts w:ascii="Verdana" w:hAnsi="Verdana"/>
        </w:rPr>
        <w:t>přísp</w:t>
      </w:r>
      <w:r>
        <w:rPr>
          <w:rFonts w:ascii="Verdana" w:hAnsi="Verdana"/>
        </w:rPr>
        <w:t>ěvky obsahující amorální, neslušné či zjevně protizákonné výrazy,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příspěvky diskriminující občany z důvodu rasy nebo etnického původu, pohlaví, věku, sexuální orientace, zdravotního postižení, náboženství či víry,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příspěvky týkající se soukromých či osobní</w:t>
      </w:r>
      <w:r>
        <w:rPr>
          <w:rFonts w:ascii="Verdana" w:hAnsi="Verdana"/>
        </w:rPr>
        <w:t>ch sporů občanů či skupin občanů, které nesouvisí s činností obce,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příspěvky bez identifikačních znaků pisatele (anonymy),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příspěvky prokazatelně nepravdivé, irelevantní, nesrozumitelné, nebo obsahující příliš mnoho chyb a hrubek,</w:t>
      </w:r>
    </w:p>
    <w:p w:rsidR="008009DC" w:rsidRDefault="0010205C">
      <w:pPr>
        <w:pStyle w:val="Odstavecseseznamem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 xml:space="preserve">fotografie dodané ve špatné kvalitě k tisku. 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 konzultaci s autorem lze příspěvky krátit a upravovat při zachování obsahu sdělení.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U všech dodaných příspěvků musí být uvedeno jméno a kontakt na autora (např. telefon, e-mail nebo adresa), přičemž kontaktn</w:t>
      </w:r>
      <w:r>
        <w:rPr>
          <w:rFonts w:ascii="Verdana" w:hAnsi="Verdana"/>
        </w:rPr>
        <w:t>í údaje nemusí být na přání autora zveřejněny.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Příspěvky uveřejněné ve zpravodaji nejsou honorovány.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Nevyžádané materiály se autorům nevracejí.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Dodavatel příspěvků nese plnou odpovědnost za původ a obsah sdělení.</w:t>
      </w:r>
    </w:p>
    <w:p w:rsidR="008009DC" w:rsidRPr="0010205C" w:rsidRDefault="0010205C">
      <w:pPr>
        <w:pStyle w:val="Odstavecseseznamem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trike/>
        </w:rPr>
      </w:pPr>
      <w:r w:rsidRPr="0010205C">
        <w:rPr>
          <w:rFonts w:ascii="Verdana" w:hAnsi="Verdana"/>
          <w:strike/>
        </w:rPr>
        <w:t>Každé číslo zpravodaje má oficiální uzávěrk</w:t>
      </w:r>
      <w:r w:rsidRPr="0010205C">
        <w:rPr>
          <w:rFonts w:ascii="Verdana" w:hAnsi="Verdana"/>
          <w:strike/>
        </w:rPr>
        <w:t>u zveřejněnou v předchozím čísle.</w:t>
      </w:r>
      <w:r>
        <w:rPr>
          <w:rFonts w:ascii="Verdana" w:hAnsi="Verdana"/>
          <w:strike/>
        </w:rPr>
        <w:t xml:space="preserve"> </w:t>
      </w:r>
      <w:r>
        <w:rPr>
          <w:rFonts w:ascii="Verdana" w:hAnsi="Verdana"/>
        </w:rPr>
        <w:t>Pozn.</w:t>
      </w:r>
      <w:bookmarkStart w:id="0" w:name="_GoBack"/>
      <w:bookmarkEnd w:id="0"/>
      <w:r>
        <w:rPr>
          <w:rFonts w:ascii="Verdana" w:hAnsi="Verdana"/>
        </w:rPr>
        <w:t>¹</w:t>
      </w:r>
    </w:p>
    <w:p w:rsidR="008009DC" w:rsidRDefault="0010205C">
      <w:pPr>
        <w:pStyle w:val="Odstavecseseznamem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Pokud rozsah příspěvků přesahuje možnosti daného vydání, stanoví se priority příspěvků ke zveřejnění v tištěné podobě, popř. se provede výtah příspěvku s tím, že úplné znění příspěvku může být zpřístupněné na webových strá</w:t>
      </w:r>
      <w:r>
        <w:rPr>
          <w:rFonts w:ascii="Verdana" w:hAnsi="Verdana"/>
        </w:rPr>
        <w:t>nkách obce.</w:t>
      </w:r>
    </w:p>
    <w:p w:rsidR="008009DC" w:rsidRDefault="0010205C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Příspěvky, náměty a názory se zasílají na e-mailovou adresu </w:t>
      </w:r>
      <w:hyperlink r:id="rId9" w:history="1">
        <w:r>
          <w:rPr>
            <w:rStyle w:val="Hypertextovodkaz"/>
            <w:rFonts w:ascii="Verdana" w:hAnsi="Verdana"/>
          </w:rPr>
          <w:t>josefovske.listy@seznam.cz</w:t>
        </w:r>
      </w:hyperlink>
      <w:r>
        <w:rPr>
          <w:rFonts w:ascii="Verdana" w:hAnsi="Verdana"/>
        </w:rPr>
        <w:t xml:space="preserve"> nebo písemně do schránky s označením „Josefovské listy“ umístěné na Obecním úřadě Josefov, Josefov 12, 357 </w:t>
      </w:r>
      <w:r>
        <w:rPr>
          <w:rFonts w:ascii="Verdana" w:hAnsi="Verdana"/>
        </w:rPr>
        <w:t>09 Josefov.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6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Inzerce, reklama, blahopřání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Soukromá inzerce občanů obce Josefov je zveřejňována zdarma. 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Ostatní inzerce, komerční inzerce a reklama je zveřejňována za úplatu.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Platba dle ceníku uvedeného na webových stránkách obce, hotově na </w:t>
      </w:r>
      <w:r>
        <w:rPr>
          <w:rFonts w:ascii="Verdana" w:hAnsi="Verdana"/>
        </w:rPr>
        <w:t>obecním úřadě nebo bankovním převodem na účet obce nejpozději v den uzávěrky, nebo fakturou.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Podání prostřednictvím písemné nebo elektronické objednávky, včetně materiálu určeného pro tisk, dodané nejpozději v den uzávěrky na e-mailovou adresu </w:t>
      </w:r>
      <w:hyperlink r:id="rId10" w:history="1">
        <w:r>
          <w:rPr>
            <w:rStyle w:val="Hypertextovodkaz"/>
            <w:rFonts w:ascii="Verdana" w:hAnsi="Verdana"/>
          </w:rPr>
          <w:t>josefovske.listy@seznam.cz</w:t>
        </w:r>
      </w:hyperlink>
      <w:r>
        <w:rPr>
          <w:rFonts w:ascii="Verdana" w:hAnsi="Verdana"/>
        </w:rPr>
        <w:t xml:space="preserve"> nebo písemně do schránky s označením „Josefovské listy“ umístěné na Obecním úřadě Josefov, popř. na adresu Josefovské listy, Josefov 12, 357 09 (objednávka je k dispozici na obecním úřadě a n</w:t>
      </w:r>
      <w:r>
        <w:rPr>
          <w:rFonts w:ascii="Verdana" w:hAnsi="Verdana"/>
        </w:rPr>
        <w:t xml:space="preserve">a webových stránkách obce). 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V případě pozdě podané objednávky nebo pozdě uhrazeného poplatku bude inzerce nebo reklama zařazena do dalšího vydání JL.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Dodavatel inzerce nebo reklamy nese plnou odpovědnost za původ a obsah sdělení. 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Inzerce nebo reklama se </w:t>
      </w:r>
      <w:r>
        <w:rPr>
          <w:rFonts w:ascii="Verdana" w:hAnsi="Verdana"/>
        </w:rPr>
        <w:t>nezveřejní, pokud je dodaná ve špatné kvalitě k tisku, obsahuje zjevné nedostatky, nebo je v rozporu s příslušnými právními ustanoveními (zákon o regulaci reklamy).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Graficky nezpracované podání může být upraveno. Na základě požadavku provede objednatel kor</w:t>
      </w:r>
      <w:r>
        <w:rPr>
          <w:rFonts w:ascii="Verdana" w:hAnsi="Verdana"/>
        </w:rPr>
        <w:t>ekturu.</w:t>
      </w:r>
    </w:p>
    <w:p w:rsidR="008009DC" w:rsidRDefault="0010205C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Se zveřejněním blahopřání (osobních údajů v inzerci) je nutný souhlas osoby, které se gratulace (inzerce) týká. Předloha souhlasu je k dispozici na obecním úřadě a na webových stránkách obce. 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Článek 7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Závěrečné ustanovení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Tato pravidla vydávání J</w:t>
      </w:r>
      <w:r>
        <w:rPr>
          <w:rFonts w:ascii="Verdana" w:hAnsi="Verdana"/>
        </w:rPr>
        <w:t>L byla schválena na zasedání zastupitelstva obce Josefov dne</w:t>
      </w:r>
      <w:r>
        <w:rPr>
          <w:rFonts w:ascii="Verdana" w:hAnsi="Verdana"/>
        </w:rPr>
        <w:br/>
        <w:t xml:space="preserve"> 24. srpna 2017, Č.U. 265/31/2017.</w:t>
      </w:r>
    </w:p>
    <w:p w:rsidR="0010205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Pozn¹. Na 33. zasedání ZO Josefov dne 13. 11. 2017 bylo usnesením Č.Ú. 319/33/2017 rozhodnuto o zrušení bodu 9 v čl. 5.</w:t>
      </w:r>
    </w:p>
    <w:p w:rsidR="008009DC" w:rsidRDefault="0010205C">
      <w:pPr>
        <w:spacing w:after="160" w:line="259" w:lineRule="auto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br w:type="page"/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-120015</wp:posOffset>
            </wp:positionV>
            <wp:extent cx="933450" cy="81724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OBJEDNÁVKA - INZERCE</w:t>
      </w:r>
      <w:proofErr w:type="gramEnd"/>
      <w:r>
        <w:rPr>
          <w:rFonts w:ascii="Verdana" w:hAnsi="Verdana"/>
          <w:b/>
        </w:rPr>
        <w:t xml:space="preserve"> V JOSEFOVSKÝCH LISTECH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10225" w:type="dxa"/>
        <w:tblLayout w:type="fixed"/>
        <w:tblLook w:val="04A0" w:firstRow="1" w:lastRow="0" w:firstColumn="1" w:lastColumn="0" w:noHBand="0" w:noVBand="1"/>
      </w:tblPr>
      <w:tblGrid>
        <w:gridCol w:w="1047"/>
        <w:gridCol w:w="5245"/>
        <w:gridCol w:w="3933"/>
      </w:tblGrid>
      <w:tr w:rsidR="008009DC">
        <w:trPr>
          <w:trHeight w:val="397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Žadatel</w:t>
            </w:r>
          </w:p>
        </w:tc>
        <w:tc>
          <w:tcPr>
            <w:tcW w:w="5245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933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Tel.č</w:t>
            </w:r>
            <w:proofErr w:type="spellEnd"/>
            <w:r>
              <w:rPr>
                <w:rFonts w:ascii="Verdana" w:hAnsi="Verdana"/>
              </w:rPr>
              <w:t>.:</w:t>
            </w:r>
          </w:p>
        </w:tc>
      </w:tr>
      <w:tr w:rsidR="008009DC">
        <w:trPr>
          <w:trHeight w:val="397"/>
        </w:trPr>
        <w:tc>
          <w:tcPr>
            <w:tcW w:w="1047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Adresa</w:t>
            </w:r>
          </w:p>
        </w:tc>
        <w:tc>
          <w:tcPr>
            <w:tcW w:w="5245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933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Bank. spojení:</w:t>
            </w: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492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64"/>
        <w:gridCol w:w="724"/>
        <w:gridCol w:w="723"/>
        <w:gridCol w:w="724"/>
      </w:tblGrid>
      <w:tr w:rsidR="008009DC">
        <w:trPr>
          <w:gridAfter w:val="4"/>
          <w:wAfter w:w="2835" w:type="dxa"/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ZVEŘEJNĚNÍ  *</w:t>
            </w:r>
            <w:proofErr w:type="gramEnd"/>
            <w:r>
              <w:rPr>
                <w:rFonts w:ascii="Verdana" w:hAnsi="Verdana"/>
              </w:rPr>
              <w:t xml:space="preserve">) </w:t>
            </w:r>
          </w:p>
        </w:tc>
      </w:tr>
      <w:tr w:rsidR="008009DC">
        <w:trPr>
          <w:gridAfter w:val="4"/>
          <w:wAfter w:w="2835" w:type="dxa"/>
          <w:trHeight w:val="324"/>
        </w:trPr>
        <w:tc>
          <w:tcPr>
            <w:tcW w:w="817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Rok</w:t>
            </w:r>
          </w:p>
        </w:tc>
        <w:tc>
          <w:tcPr>
            <w:tcW w:w="1276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8009DC">
        <w:trPr>
          <w:trHeight w:val="276"/>
        </w:trPr>
        <w:tc>
          <w:tcPr>
            <w:tcW w:w="2093" w:type="dxa"/>
            <w:gridSpan w:val="2"/>
            <w:vMerge w:val="restart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Číslo vydání                                                  </w:t>
            </w:r>
          </w:p>
        </w:tc>
        <w:tc>
          <w:tcPr>
            <w:tcW w:w="664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24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23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24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009DC">
        <w:trPr>
          <w:trHeight w:val="276"/>
        </w:trPr>
        <w:tc>
          <w:tcPr>
            <w:tcW w:w="2093" w:type="dxa"/>
            <w:gridSpan w:val="2"/>
            <w:vMerge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664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24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23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24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3402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</w:tblGrid>
      <w:tr w:rsidR="008009DC">
        <w:trPr>
          <w:gridAfter w:val="1"/>
          <w:wAfter w:w="567" w:type="dxa"/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FORMA ÚHRADY *)</w:t>
            </w:r>
          </w:p>
        </w:tc>
      </w:tr>
      <w:tr w:rsidR="008009DC">
        <w:trPr>
          <w:trHeight w:val="283"/>
        </w:trPr>
        <w:tc>
          <w:tcPr>
            <w:tcW w:w="2835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hotově</w:t>
            </w:r>
          </w:p>
        </w:tc>
        <w:tc>
          <w:tcPr>
            <w:tcW w:w="567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2835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bankovní převod</w:t>
            </w:r>
          </w:p>
        </w:tc>
        <w:tc>
          <w:tcPr>
            <w:tcW w:w="567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2835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faktura</w:t>
            </w:r>
          </w:p>
        </w:tc>
        <w:tc>
          <w:tcPr>
            <w:tcW w:w="567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10173" w:type="dxa"/>
        <w:tblLayout w:type="fixed"/>
        <w:tblLook w:val="04A0" w:firstRow="1" w:lastRow="0" w:firstColumn="1" w:lastColumn="0" w:noHBand="0" w:noVBand="1"/>
      </w:tblPr>
      <w:tblGrid>
        <w:gridCol w:w="2782"/>
        <w:gridCol w:w="1847"/>
        <w:gridCol w:w="1716"/>
        <w:gridCol w:w="1980"/>
        <w:gridCol w:w="1848"/>
      </w:tblGrid>
      <w:tr w:rsidR="008009DC">
        <w:trPr>
          <w:trHeight w:val="283"/>
        </w:trPr>
        <w:tc>
          <w:tcPr>
            <w:tcW w:w="2782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VELIKOST INZERÁTU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CENA</w:t>
            </w:r>
          </w:p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Kč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VYBERTE *)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ZVÝHODNĚNÁ CENA **) v Kč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VYBERTE *)</w:t>
            </w:r>
          </w:p>
        </w:tc>
      </w:tr>
      <w:tr w:rsidR="008009DC">
        <w:trPr>
          <w:trHeight w:val="283"/>
        </w:trPr>
        <w:tc>
          <w:tcPr>
            <w:tcW w:w="2782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A5 (125 x 175 mm)</w:t>
            </w:r>
          </w:p>
        </w:tc>
        <w:tc>
          <w:tcPr>
            <w:tcW w:w="1847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800</w:t>
            </w:r>
          </w:p>
        </w:tc>
        <w:tc>
          <w:tcPr>
            <w:tcW w:w="1716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400</w:t>
            </w:r>
          </w:p>
        </w:tc>
        <w:tc>
          <w:tcPr>
            <w:tcW w:w="1848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2782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 x 87 mm</w:t>
            </w:r>
          </w:p>
        </w:tc>
        <w:tc>
          <w:tcPr>
            <w:tcW w:w="1847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400</w:t>
            </w:r>
          </w:p>
        </w:tc>
        <w:tc>
          <w:tcPr>
            <w:tcW w:w="1716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</w:p>
        </w:tc>
        <w:tc>
          <w:tcPr>
            <w:tcW w:w="1848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2782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 x 45 mm</w:t>
            </w:r>
          </w:p>
        </w:tc>
        <w:tc>
          <w:tcPr>
            <w:tcW w:w="1847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</w:p>
        </w:tc>
        <w:tc>
          <w:tcPr>
            <w:tcW w:w="1716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</w:t>
            </w:r>
          </w:p>
        </w:tc>
        <w:tc>
          <w:tcPr>
            <w:tcW w:w="1848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2782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 x 87 mm</w:t>
            </w:r>
          </w:p>
        </w:tc>
        <w:tc>
          <w:tcPr>
            <w:tcW w:w="1847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</w:t>
            </w:r>
          </w:p>
        </w:tc>
        <w:tc>
          <w:tcPr>
            <w:tcW w:w="1716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</w:t>
            </w:r>
          </w:p>
        </w:tc>
        <w:tc>
          <w:tcPr>
            <w:tcW w:w="1848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8009DC">
        <w:trPr>
          <w:trHeight w:val="283"/>
        </w:trPr>
        <w:tc>
          <w:tcPr>
            <w:tcW w:w="10173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Text</w:t>
            </w:r>
          </w:p>
        </w:tc>
      </w:tr>
      <w:tr w:rsidR="008009DC">
        <w:trPr>
          <w:trHeight w:val="2130"/>
        </w:trPr>
        <w:tc>
          <w:tcPr>
            <w:tcW w:w="10173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8009DC">
        <w:trPr>
          <w:trHeight w:val="283"/>
        </w:trPr>
        <w:tc>
          <w:tcPr>
            <w:tcW w:w="10173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Příloha (uvést)</w:t>
            </w:r>
          </w:p>
        </w:tc>
      </w:tr>
      <w:tr w:rsidR="008009DC">
        <w:trPr>
          <w:trHeight w:val="972"/>
        </w:trPr>
        <w:tc>
          <w:tcPr>
            <w:tcW w:w="10173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6085" w:type="dxa"/>
        <w:tblLayout w:type="fixed"/>
        <w:tblLook w:val="04A0" w:firstRow="1" w:lastRow="0" w:firstColumn="1" w:lastColumn="0" w:noHBand="0" w:noVBand="1"/>
      </w:tblPr>
      <w:tblGrid>
        <w:gridCol w:w="3085"/>
        <w:gridCol w:w="750"/>
        <w:gridCol w:w="750"/>
        <w:gridCol w:w="750"/>
        <w:gridCol w:w="750"/>
      </w:tblGrid>
      <w:tr w:rsidR="008009DC">
        <w:trPr>
          <w:trHeight w:val="28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Je požadována </w:t>
            </w:r>
            <w:proofErr w:type="gramStart"/>
            <w:r>
              <w:rPr>
                <w:rFonts w:ascii="Verdana" w:hAnsi="Verdana"/>
              </w:rPr>
              <w:t>korektura  *</w:t>
            </w:r>
            <w:proofErr w:type="gramEnd"/>
            <w:r>
              <w:rPr>
                <w:rFonts w:ascii="Verdana" w:hAnsi="Verdana"/>
              </w:rPr>
              <w:t>)</w:t>
            </w:r>
          </w:p>
        </w:tc>
        <w:tc>
          <w:tcPr>
            <w:tcW w:w="750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Ano</w:t>
            </w:r>
          </w:p>
        </w:tc>
        <w:tc>
          <w:tcPr>
            <w:tcW w:w="750" w:type="dxa"/>
            <w:vAlign w:val="center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50" w:type="dxa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</w:t>
            </w:r>
          </w:p>
        </w:tc>
        <w:tc>
          <w:tcPr>
            <w:tcW w:w="750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Style w:val="Mkatabulky"/>
        <w:tblW w:w="10061" w:type="dxa"/>
        <w:tblLayout w:type="fixed"/>
        <w:tblLook w:val="04A0" w:firstRow="1" w:lastRow="0" w:firstColumn="1" w:lastColumn="0" w:noHBand="0" w:noVBand="1"/>
      </w:tblPr>
      <w:tblGrid>
        <w:gridCol w:w="10061"/>
      </w:tblGrid>
      <w:tr w:rsidR="008009DC">
        <w:trPr>
          <w:trHeight w:val="283"/>
        </w:trPr>
        <w:tc>
          <w:tcPr>
            <w:tcW w:w="10061" w:type="dxa"/>
            <w:shd w:val="clear" w:color="auto" w:fill="D9D9D9" w:themeFill="background1" w:themeFillShade="D9"/>
            <w:vAlign w:val="center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Poznámka</w:t>
            </w:r>
          </w:p>
        </w:tc>
      </w:tr>
      <w:tr w:rsidR="008009DC">
        <w:trPr>
          <w:trHeight w:val="1004"/>
        </w:trPr>
        <w:tc>
          <w:tcPr>
            <w:tcW w:w="10061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Datum ______________________                      Podpis ________________________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*) označte/zakřížkujte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**) zveřejnění </w:t>
      </w:r>
      <w:r>
        <w:rPr>
          <w:rFonts w:ascii="Verdana" w:hAnsi="Verdana"/>
        </w:rPr>
        <w:t>kulturních, společenských a sportovních akcí, poděkování, blahopřání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-205740</wp:posOffset>
            </wp:positionV>
            <wp:extent cx="933450" cy="817245"/>
            <wp:effectExtent l="0" t="0" r="0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SOUHLAS SE ZVEŘEJNĚNÍM 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Já (jméno a příjmení) ________________________________________________________ datum narození___________________ tel. č. _____________________________________ </w:t>
      </w:r>
      <w:r>
        <w:rPr>
          <w:rFonts w:ascii="Verdana" w:hAnsi="Verdana"/>
        </w:rPr>
        <w:t xml:space="preserve">  adresa__________________________________________ __________________________</w:t>
      </w: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souhlasím, s využitím osobních údajů, v uvedeném rozsahu, za </w:t>
      </w:r>
      <w:proofErr w:type="gramStart"/>
      <w:r>
        <w:rPr>
          <w:rFonts w:ascii="Verdana" w:hAnsi="Verdana"/>
        </w:rPr>
        <w:t>účelem:  gratulace</w:t>
      </w:r>
      <w:proofErr w:type="gramEnd"/>
      <w:r>
        <w:rPr>
          <w:rFonts w:ascii="Verdana" w:hAnsi="Verdana"/>
        </w:rPr>
        <w:t xml:space="preserve"> – inzerce *) v obecním zpravodaji -  Josefovských listech.</w:t>
      </w:r>
    </w:p>
    <w:p w:rsidR="008009DC" w:rsidRDefault="008009D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</w:p>
    <w:tbl>
      <w:tblPr>
        <w:tblStyle w:val="Mkatabulky"/>
        <w:tblW w:w="31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</w:tblGrid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narození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věk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podobizna 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adresa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8009DC">
        <w:tc>
          <w:tcPr>
            <w:tcW w:w="2410" w:type="dxa"/>
          </w:tcPr>
          <w:p w:rsidR="008009DC" w:rsidRDefault="0010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telefonní číslo</w:t>
            </w:r>
          </w:p>
        </w:tc>
        <w:tc>
          <w:tcPr>
            <w:tcW w:w="709" w:type="dxa"/>
          </w:tcPr>
          <w:p w:rsidR="008009DC" w:rsidRDefault="00800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(označte křížkem rozsah)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Tento souhlas se vydává na dobu: </w:t>
      </w:r>
      <w:proofErr w:type="gramStart"/>
      <w:r>
        <w:rPr>
          <w:rFonts w:ascii="Verdana" w:hAnsi="Verdana"/>
        </w:rPr>
        <w:t>a)  neurčitou</w:t>
      </w:r>
      <w:proofErr w:type="gramEnd"/>
      <w:r>
        <w:rPr>
          <w:rFonts w:ascii="Verdana" w:hAnsi="Verdana"/>
        </w:rPr>
        <w:t xml:space="preserve">    b) do ______________ (uveďte datum)  *)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Dále svým podpisem potvrzuji, že jsem tímto informován(a) ve smyslu </w:t>
      </w:r>
      <w:proofErr w:type="spellStart"/>
      <w:r>
        <w:rPr>
          <w:rFonts w:ascii="Verdana" w:hAnsi="Verdana"/>
        </w:rPr>
        <w:t>ust</w:t>
      </w:r>
      <w:proofErr w:type="spellEnd"/>
      <w:r>
        <w:rPr>
          <w:rFonts w:ascii="Verdana" w:hAnsi="Verdana"/>
        </w:rPr>
        <w:t>. § 11, odst. (2) záko</w:t>
      </w:r>
      <w:r>
        <w:rPr>
          <w:rFonts w:ascii="Verdana" w:hAnsi="Verdana"/>
        </w:rPr>
        <w:t>na č. 101/2000 Sb. o ochraně osobních údajů a o změně některých zákonů o tom, že poskytnutí uvedených osobních údajů je dobrovolné.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Datum ___________________   Podpis ___________________________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10205C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*) nehodící škrtněte</w:t>
      </w:r>
    </w:p>
    <w:p w:rsidR="008009DC" w:rsidRDefault="008009D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FF0000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8009DC" w:rsidRDefault="008009DC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</w:p>
    <w:sectPr w:rsidR="008009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12A2"/>
    <w:multiLevelType w:val="multilevel"/>
    <w:tmpl w:val="2BF512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607300"/>
    <w:multiLevelType w:val="multilevel"/>
    <w:tmpl w:val="4B607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E3E6751"/>
    <w:multiLevelType w:val="multilevel"/>
    <w:tmpl w:val="4E3E67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4399F"/>
    <w:multiLevelType w:val="multilevel"/>
    <w:tmpl w:val="6DD4399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8C"/>
    <w:rsid w:val="000004DC"/>
    <w:rsid w:val="0001531A"/>
    <w:rsid w:val="00055211"/>
    <w:rsid w:val="00063475"/>
    <w:rsid w:val="00063F81"/>
    <w:rsid w:val="00080A61"/>
    <w:rsid w:val="000C4AC6"/>
    <w:rsid w:val="000E58A0"/>
    <w:rsid w:val="000F0DD6"/>
    <w:rsid w:val="000F7C02"/>
    <w:rsid w:val="0010205C"/>
    <w:rsid w:val="00160C20"/>
    <w:rsid w:val="00167295"/>
    <w:rsid w:val="00195E52"/>
    <w:rsid w:val="001A37A3"/>
    <w:rsid w:val="001A7DDD"/>
    <w:rsid w:val="001C4661"/>
    <w:rsid w:val="001C683B"/>
    <w:rsid w:val="00227774"/>
    <w:rsid w:val="00275B1A"/>
    <w:rsid w:val="002B3CCD"/>
    <w:rsid w:val="002C4D87"/>
    <w:rsid w:val="002C70E2"/>
    <w:rsid w:val="002C79FB"/>
    <w:rsid w:val="002D7056"/>
    <w:rsid w:val="002F13F2"/>
    <w:rsid w:val="002F3ECA"/>
    <w:rsid w:val="0030659D"/>
    <w:rsid w:val="00307508"/>
    <w:rsid w:val="003262ED"/>
    <w:rsid w:val="00335475"/>
    <w:rsid w:val="00365F38"/>
    <w:rsid w:val="003C7E22"/>
    <w:rsid w:val="003E560F"/>
    <w:rsid w:val="004128A9"/>
    <w:rsid w:val="00417196"/>
    <w:rsid w:val="004201E9"/>
    <w:rsid w:val="0042454F"/>
    <w:rsid w:val="00484293"/>
    <w:rsid w:val="004A28D7"/>
    <w:rsid w:val="004B2BEB"/>
    <w:rsid w:val="004C0441"/>
    <w:rsid w:val="004C4EDB"/>
    <w:rsid w:val="005770A8"/>
    <w:rsid w:val="00581DC6"/>
    <w:rsid w:val="00593721"/>
    <w:rsid w:val="005B1619"/>
    <w:rsid w:val="005C0AFE"/>
    <w:rsid w:val="005E5BB1"/>
    <w:rsid w:val="005E664C"/>
    <w:rsid w:val="005F0082"/>
    <w:rsid w:val="00654343"/>
    <w:rsid w:val="0066027A"/>
    <w:rsid w:val="00672188"/>
    <w:rsid w:val="0067784A"/>
    <w:rsid w:val="00677919"/>
    <w:rsid w:val="00683EF3"/>
    <w:rsid w:val="00694C34"/>
    <w:rsid w:val="006B120F"/>
    <w:rsid w:val="006B65C3"/>
    <w:rsid w:val="006C343F"/>
    <w:rsid w:val="006E15B1"/>
    <w:rsid w:val="006E3680"/>
    <w:rsid w:val="006F4908"/>
    <w:rsid w:val="00721740"/>
    <w:rsid w:val="007638A5"/>
    <w:rsid w:val="0076618C"/>
    <w:rsid w:val="00770B37"/>
    <w:rsid w:val="00770E99"/>
    <w:rsid w:val="0077799F"/>
    <w:rsid w:val="007810B5"/>
    <w:rsid w:val="00782290"/>
    <w:rsid w:val="00785BB6"/>
    <w:rsid w:val="007A6330"/>
    <w:rsid w:val="007D0507"/>
    <w:rsid w:val="007F12B0"/>
    <w:rsid w:val="007F3E13"/>
    <w:rsid w:val="008001A7"/>
    <w:rsid w:val="008009DC"/>
    <w:rsid w:val="00827649"/>
    <w:rsid w:val="00827EB5"/>
    <w:rsid w:val="008374D4"/>
    <w:rsid w:val="00885926"/>
    <w:rsid w:val="009325E4"/>
    <w:rsid w:val="00934089"/>
    <w:rsid w:val="00934AB2"/>
    <w:rsid w:val="00970F99"/>
    <w:rsid w:val="009842FC"/>
    <w:rsid w:val="009846EA"/>
    <w:rsid w:val="009A3C1C"/>
    <w:rsid w:val="009B2746"/>
    <w:rsid w:val="009D53A9"/>
    <w:rsid w:val="009E25EA"/>
    <w:rsid w:val="00A0264C"/>
    <w:rsid w:val="00A107A7"/>
    <w:rsid w:val="00A13417"/>
    <w:rsid w:val="00A22715"/>
    <w:rsid w:val="00A5680B"/>
    <w:rsid w:val="00A86685"/>
    <w:rsid w:val="00A90902"/>
    <w:rsid w:val="00AC6305"/>
    <w:rsid w:val="00AE1B7D"/>
    <w:rsid w:val="00AF448C"/>
    <w:rsid w:val="00B50CE5"/>
    <w:rsid w:val="00B93D84"/>
    <w:rsid w:val="00BC1C68"/>
    <w:rsid w:val="00C000DE"/>
    <w:rsid w:val="00C05145"/>
    <w:rsid w:val="00C0632B"/>
    <w:rsid w:val="00C35ABF"/>
    <w:rsid w:val="00C42C4E"/>
    <w:rsid w:val="00C43861"/>
    <w:rsid w:val="00C50517"/>
    <w:rsid w:val="00C76AD3"/>
    <w:rsid w:val="00CC1E34"/>
    <w:rsid w:val="00CC618A"/>
    <w:rsid w:val="00CF14E0"/>
    <w:rsid w:val="00D124C6"/>
    <w:rsid w:val="00D24B63"/>
    <w:rsid w:val="00D415E0"/>
    <w:rsid w:val="00D54197"/>
    <w:rsid w:val="00D65286"/>
    <w:rsid w:val="00D657DD"/>
    <w:rsid w:val="00D82550"/>
    <w:rsid w:val="00D93038"/>
    <w:rsid w:val="00DC08AE"/>
    <w:rsid w:val="00DF5E0E"/>
    <w:rsid w:val="00E438C2"/>
    <w:rsid w:val="00E6672F"/>
    <w:rsid w:val="00E7225F"/>
    <w:rsid w:val="00E72E5E"/>
    <w:rsid w:val="00EA4197"/>
    <w:rsid w:val="00EC50E7"/>
    <w:rsid w:val="00ED11BA"/>
    <w:rsid w:val="00ED4CC9"/>
    <w:rsid w:val="00EE3891"/>
    <w:rsid w:val="00EF2435"/>
    <w:rsid w:val="00EF2B0F"/>
    <w:rsid w:val="00F03CBF"/>
    <w:rsid w:val="00F1160F"/>
    <w:rsid w:val="00F46AAB"/>
    <w:rsid w:val="00F619CE"/>
    <w:rsid w:val="00F93760"/>
    <w:rsid w:val="00F96517"/>
    <w:rsid w:val="00FA5586"/>
    <w:rsid w:val="00FB14ED"/>
    <w:rsid w:val="00FC03E5"/>
    <w:rsid w:val="00FC45D3"/>
    <w:rsid w:val="00FC5CC5"/>
    <w:rsid w:val="00FF4786"/>
    <w:rsid w:val="3CA711A3"/>
    <w:rsid w:val="7F7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84533C"/>
  <w15:docId w15:val="{962E9D7D-3769-44C0-8DB8-833359A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Standardnpsmoodstavce"/>
    <w:uiPriority w:val="99"/>
    <w:rPr>
      <w:rFonts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osefov.cz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josefovske.listy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josefovske.listy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1CBF6-E502-4EB2-BF12-BEA0487D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Onak</cp:lastModifiedBy>
  <cp:revision>4</cp:revision>
  <cp:lastPrinted>2017-06-21T10:03:00Z</cp:lastPrinted>
  <dcterms:created xsi:type="dcterms:W3CDTF">2017-09-01T13:01:00Z</dcterms:created>
  <dcterms:modified xsi:type="dcterms:W3CDTF">2017-11-19T16:21:00Z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